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172A"/>
          <w:sz w:val="48"/>
        </w:rPr>
        <w:t>Data Processing Agreement</w:t>
      </w:r>
    </w:p>
    <w:p>
      <w:pPr>
        <w:jc w:val="center"/>
      </w:pPr>
      <w:r>
        <w:rPr>
          <w:i/>
          <w:sz w:val="24"/>
        </w:rPr>
        <w:t>Between YARDtwin Ltd (Processor) and the Customer (Controller)</w:t>
      </w:r>
    </w:p>
    <w:p/>
    <w:p>
      <w:pPr>
        <w:jc w:val="center"/>
      </w:pPr>
      <w:r>
        <w:rPr>
          <w:i/>
          <w:color w:val="64748B"/>
          <w:sz w:val="20"/>
        </w:rPr>
        <w:t>Template v1.0 · April 2026 · GDPR Article 28 · EU GMP Annex 11 · 21 CFR Part 11</w:t>
      </w:r>
    </w:p>
    <w:p/>
    <w:p>
      <w:pPr>
        <w:pStyle w:val="Heading1"/>
      </w:pPr>
      <w:r>
        <w:rPr>
          <w:color w:val="0F172A"/>
        </w:rPr>
        <w:t>1. Parties</w:t>
      </w:r>
    </w:p>
    <w:p>
      <w:r>
        <w:rPr>
          <w:b w:val="0"/>
          <w:i w:val="0"/>
        </w:rPr>
        <w:t>This Data Processing Agreement ("DPA") forms part of the Master Services Agreement (the "Agreement") between YARDtwin Ltd, a company registered in Ireland with registered office at [REGISTERED OFFICE ADDRESS] (the "Processor" or "YARDtwin"), and the customer identified in the Order Form (the "Controller" or "Customer"). The Processor and the Controller are referred to individually as a "Party" and collectively as the "Parties".</w:t>
      </w:r>
    </w:p>
    <w:p>
      <w:pPr>
        <w:pStyle w:val="Heading2"/>
      </w:pPr>
      <w:r>
        <w:rPr>
          <w:color w:val="0F172A"/>
        </w:rPr>
        <w:t>1.1 Controller details (to be completed by Customer)</w:t>
      </w:r>
    </w:p>
    <w:tbl>
      <w:tblPr>
        <w:tblStyle w:val="LightGrid-Accent1"/>
        <w:tblW w:type="auto" w:w="0"/>
        <w:tblLook w:firstColumn="1" w:firstRow="1" w:lastColumn="0" w:lastRow="0" w:noHBand="0" w:noVBand="1" w:val="04A0"/>
      </w:tblPr>
      <w:tblGrid>
        <w:gridCol w:w="4320"/>
        <w:gridCol w:w="4320"/>
      </w:tblGrid>
      <w:tr>
        <w:tc>
          <w:tcPr>
            <w:tcW w:type="dxa" w:w="4320"/>
          </w:tcPr>
          <w:p>
            <w:r>
              <w:t>Legal entity name</w:t>
            </w:r>
          </w:p>
        </w:tc>
        <w:tc>
          <w:tcPr>
            <w:tcW w:type="dxa" w:w="4320"/>
          </w:tcPr>
          <w:p>
            <w:r>
              <w:t>[CUSTOMER LEGAL NAME]</w:t>
            </w:r>
          </w:p>
        </w:tc>
      </w:tr>
      <w:tr>
        <w:tc>
          <w:tcPr>
            <w:tcW w:type="dxa" w:w="4320"/>
          </w:tcPr>
          <w:p>
            <w:r>
              <w:t>Registered address</w:t>
            </w:r>
          </w:p>
        </w:tc>
        <w:tc>
          <w:tcPr>
            <w:tcW w:type="dxa" w:w="4320"/>
          </w:tcPr>
          <w:p>
            <w:r>
              <w:t>[ADDRESS]</w:t>
            </w:r>
          </w:p>
        </w:tc>
      </w:tr>
      <w:tr>
        <w:tc>
          <w:tcPr>
            <w:tcW w:type="dxa" w:w="4320"/>
          </w:tcPr>
          <w:p>
            <w:r>
              <w:t>Country of establishment</w:t>
            </w:r>
          </w:p>
        </w:tc>
        <w:tc>
          <w:tcPr>
            <w:tcW w:type="dxa" w:w="4320"/>
          </w:tcPr>
          <w:p>
            <w:r>
              <w:t>[COUNTRY]</w:t>
            </w:r>
          </w:p>
        </w:tc>
      </w:tr>
      <w:tr>
        <w:tc>
          <w:tcPr>
            <w:tcW w:type="dxa" w:w="4320"/>
          </w:tcPr>
          <w:p>
            <w:r>
              <w:t>Company registration number</w:t>
            </w:r>
          </w:p>
        </w:tc>
        <w:tc>
          <w:tcPr>
            <w:tcW w:type="dxa" w:w="4320"/>
          </w:tcPr>
          <w:p>
            <w:r>
              <w:t>[REG NUMBER]</w:t>
            </w:r>
          </w:p>
        </w:tc>
      </w:tr>
      <w:tr>
        <w:tc>
          <w:tcPr>
            <w:tcW w:type="dxa" w:w="4320"/>
          </w:tcPr>
          <w:p>
            <w:r>
              <w:t>Data protection contact</w:t>
            </w:r>
          </w:p>
        </w:tc>
        <w:tc>
          <w:tcPr>
            <w:tcW w:type="dxa" w:w="4320"/>
          </w:tcPr>
          <w:p>
            <w:r>
              <w:t>[DPO NAME, EMAIL]</w:t>
            </w:r>
          </w:p>
        </w:tc>
      </w:tr>
    </w:tbl>
    <w:p>
      <w:pPr>
        <w:pStyle w:val="Heading1"/>
      </w:pPr>
      <w:r>
        <w:rPr>
          <w:color w:val="0F172A"/>
        </w:rPr>
        <w:t>2. Definitions</w:t>
      </w:r>
    </w:p>
    <w:p>
      <w:r>
        <w:rPr>
          <w:b w:val="0"/>
          <w:i w:val="0"/>
        </w:rPr>
        <w:t>Terms used in this DPA have the meanings given in Regulation (EU) 2016/679 ("GDPR"). In particular:</w:t>
      </w:r>
    </w:p>
    <w:p>
      <w:pPr>
        <w:pStyle w:val="ListBullet"/>
      </w:pPr>
      <w:r>
        <w:t>"Personal Data" means any information relating to an identified or identifiable natural person.</w:t>
      </w:r>
    </w:p>
    <w:p>
      <w:pPr>
        <w:pStyle w:val="ListBullet"/>
      </w:pPr>
      <w:r>
        <w:t>"Processing" means any operation performed on Personal Data, including collection, storage, retrieval, and deletion.</w:t>
      </w:r>
    </w:p>
    <w:p>
      <w:pPr>
        <w:pStyle w:val="ListBullet"/>
      </w:pPr>
      <w:r>
        <w:t>"Sub-processor" means any third party engaged by the Processor to process Personal Data on behalf of the Controller.</w:t>
      </w:r>
    </w:p>
    <w:p>
      <w:pPr>
        <w:pStyle w:val="ListBullet"/>
      </w:pPr>
      <w:r>
        <w:t>"Data Subject" means the natural person to whom Personal Data relates.</w:t>
      </w:r>
    </w:p>
    <w:p>
      <w:pPr>
        <w:pStyle w:val="ListBullet"/>
      </w:pPr>
      <w:r>
        <w:t>"Supervisory Authority" means an independent public authority under Article 51 GDPR.</w:t>
      </w:r>
    </w:p>
    <w:p>
      <w:pPr>
        <w:pStyle w:val="Heading1"/>
      </w:pPr>
      <w:r>
        <w:rPr>
          <w:color w:val="0F172A"/>
        </w:rPr>
        <w:t>3. Scope and Purpose</w:t>
      </w:r>
    </w:p>
    <w:p>
      <w:r>
        <w:rPr>
          <w:b w:val="0"/>
          <w:i w:val="0"/>
        </w:rPr>
        <w:t>The Processor processes Personal Data on behalf of the Controller solely to provide the YARDtwin platform services: dock scheduling, gate operations, digital twin visualisation, carrier and driver management, inspections, compliance reporting, and supporting analytics. The nature, duration, and purpose of Processing are further described in Schedule 1.</w:t>
      </w:r>
    </w:p>
    <w:p>
      <w:pPr>
        <w:pStyle w:val="Heading1"/>
      </w:pPr>
      <w:r>
        <w:rPr>
          <w:color w:val="0F172A"/>
        </w:rPr>
        <w:t>4. Processor Obligations</w:t>
      </w:r>
    </w:p>
    <w:p>
      <w:r>
        <w:rPr>
          <w:b w:val="0"/>
          <w:i w:val="0"/>
        </w:rPr>
        <w:t>The Processor shall:</w:t>
      </w:r>
    </w:p>
    <w:p>
      <w:pPr>
        <w:pStyle w:val="ListBullet"/>
      </w:pPr>
      <w:r>
        <w:t>Process Personal Data only on documented instructions from the Controller, including instructions in the Agreement and this DPA.</w:t>
      </w:r>
    </w:p>
    <w:p>
      <w:pPr>
        <w:pStyle w:val="ListBullet"/>
      </w:pPr>
      <w:r>
        <w:t>Ensure that personnel authorised to process Personal Data are bound by confidentiality obligations.</w:t>
      </w:r>
    </w:p>
    <w:p>
      <w:pPr>
        <w:pStyle w:val="ListBullet"/>
      </w:pPr>
      <w:r>
        <w:t>Implement and maintain the technical and organisational measures set out in Schedule 3.</w:t>
      </w:r>
    </w:p>
    <w:p>
      <w:pPr>
        <w:pStyle w:val="ListBullet"/>
      </w:pPr>
      <w:r>
        <w:t>Assist the Controller, at the Controller's cost where applicable, with Data Subject rights requests, data protection impact assessments, and prior consultation with Supervisory Authorities.</w:t>
      </w:r>
    </w:p>
    <w:p>
      <w:pPr>
        <w:pStyle w:val="ListBullet"/>
      </w:pPr>
      <w:r>
        <w:t>Notify the Controller without undue delay and in any case within 48 hours of becoming aware of a Personal Data Breach, with the information required under Article 33(3) GDPR.</w:t>
      </w:r>
    </w:p>
    <w:p>
      <w:pPr>
        <w:pStyle w:val="ListBullet"/>
      </w:pPr>
      <w:r>
        <w:t>At the Controller's choice, delete or return all Personal Data at the end of the Agreement, subject to legal retention requirements.</w:t>
      </w:r>
    </w:p>
    <w:p>
      <w:pPr>
        <w:pStyle w:val="ListBullet"/>
      </w:pPr>
      <w:r>
        <w:t>Make available all information necessary to demonstrate compliance with this DPA and allow for audits as set out in Section 9.</w:t>
      </w:r>
    </w:p>
    <w:p>
      <w:pPr>
        <w:pStyle w:val="Heading1"/>
      </w:pPr>
      <w:r>
        <w:rPr>
          <w:color w:val="0F172A"/>
        </w:rPr>
        <w:t>5. Controller Obligations</w:t>
      </w:r>
    </w:p>
    <w:p>
      <w:r>
        <w:rPr>
          <w:b w:val="0"/>
          <w:i w:val="0"/>
        </w:rPr>
        <w:t>The Controller shall:</w:t>
      </w:r>
    </w:p>
    <w:p>
      <w:pPr>
        <w:pStyle w:val="ListBullet"/>
      </w:pPr>
      <w:r>
        <w:t>Ensure it has a valid legal basis under Article 6 GDPR (and Article 9 where special categories are involved) for Processing carried out under the Agreement.</w:t>
      </w:r>
    </w:p>
    <w:p>
      <w:pPr>
        <w:pStyle w:val="ListBullet"/>
      </w:pPr>
      <w:r>
        <w:t>Provide accurate and up-to-date instructions to the Processor.</w:t>
      </w:r>
    </w:p>
    <w:p>
      <w:pPr>
        <w:pStyle w:val="ListBullet"/>
      </w:pPr>
      <w:r>
        <w:t>Ensure that Data Subjects have been provided with all information required under Articles 13 and 14 GDPR.</w:t>
      </w:r>
    </w:p>
    <w:p>
      <w:pPr>
        <w:pStyle w:val="ListBullet"/>
      </w:pPr>
      <w:r>
        <w:t>Configure the platform (roles, permissions, retention periods) in accordance with its own compliance requirements.</w:t>
      </w:r>
    </w:p>
    <w:p>
      <w:pPr>
        <w:pStyle w:val="Heading1"/>
      </w:pPr>
      <w:r>
        <w:rPr>
          <w:color w:val="0F172A"/>
        </w:rPr>
        <w:t>6. Sub-processors</w:t>
      </w:r>
    </w:p>
    <w:p>
      <w:r>
        <w:rPr>
          <w:b w:val="0"/>
          <w:i w:val="0"/>
        </w:rPr>
        <w:t>The Controller provides a general authorisation for the Processor to engage sub-processors. The Processor will maintain an up-to-date list of sub-processors (see Schedule 2) and will give the Controller at least 30 days' prior notice of any intended changes. The Controller may object in writing within 14 days of notice. If the objection cannot be reasonably addressed, either Party may terminate the affected Services without penalty.</w:t>
      </w:r>
    </w:p>
    <w:p>
      <w:r>
        <w:rPr>
          <w:b w:val="0"/>
          <w:i w:val="0"/>
        </w:rPr>
        <w:t>The Processor will impose data protection obligations on each sub-processor that are no less protective than those set out in this DPA.</w:t>
      </w:r>
    </w:p>
    <w:p>
      <w:pPr>
        <w:pStyle w:val="Heading1"/>
      </w:pPr>
      <w:r>
        <w:rPr>
          <w:color w:val="0F172A"/>
        </w:rPr>
        <w:t>7. International Transfers</w:t>
      </w:r>
    </w:p>
    <w:p>
      <w:r>
        <w:rPr>
          <w:b w:val="0"/>
          <w:i w:val="0"/>
        </w:rPr>
        <w:t>All Customer Personal Data is stored within the European Union / European Economic Area (EU/EEA). Where any ancillary Processing requires transfer outside the EU/EEA, the Processor will rely on one of the following lawful mechanisms: (i) an adequacy decision under Article 45 GDPR; (ii) Standard Contractual Clauses approved by the European Commission; or (iii) any successor mechanism recognised by the European Commission. The Controller hereby enters into the applicable SCCs as set out in Schedule 4 where required.</w:t>
      </w:r>
    </w:p>
    <w:p>
      <w:pPr>
        <w:pStyle w:val="Heading1"/>
      </w:pPr>
      <w:r>
        <w:rPr>
          <w:color w:val="0F172A"/>
        </w:rPr>
        <w:t>8. Data Subject Rights</w:t>
      </w:r>
    </w:p>
    <w:p>
      <w:r>
        <w:rPr>
          <w:b w:val="0"/>
          <w:i w:val="0"/>
        </w:rPr>
        <w:t>The platform provides self-service data export (JSON and CSV) and data subject access / erasure ("DSAR") workflows. Where the Processor receives a request directly from a Data Subject, the Processor will, without responding to the request, forward it to the Controller within 5 business days.</w:t>
      </w:r>
    </w:p>
    <w:p>
      <w:pPr>
        <w:pStyle w:val="Heading1"/>
      </w:pPr>
      <w:r>
        <w:rPr>
          <w:color w:val="0F172A"/>
        </w:rPr>
        <w:t>9. Audit Rights</w:t>
      </w:r>
    </w:p>
    <w:p>
      <w:r>
        <w:rPr>
          <w:b w:val="0"/>
          <w:i w:val="0"/>
        </w:rPr>
        <w:t>The Processor will make available to the Controller, on request and no more than once per calendar year, its most recent independent audit reports (including SOC 2 Type II once available, penetration test summaries, and this DPA's Schedule 3 controls attestation). On-site audits may be conducted once per calendar year with 30 days' prior notice, during business hours, subject to a reasonable confidentiality agreement, and at the Controller's cost (unless the audit identifies a material breach of this DPA by the Processor).</w:t>
      </w:r>
    </w:p>
    <w:p>
      <w:pPr>
        <w:pStyle w:val="Heading1"/>
      </w:pPr>
      <w:r>
        <w:rPr>
          <w:color w:val="0F172A"/>
        </w:rPr>
        <w:t>10. Liability and Term</w:t>
      </w:r>
    </w:p>
    <w:p>
      <w:r>
        <w:rPr>
          <w:b w:val="0"/>
          <w:i w:val="0"/>
        </w:rPr>
        <w:t>The liability of each Party under this DPA is governed by the limitation of liability provisions in the Agreement. This DPA takes effect on the effective date of the Agreement and remains in force for as long as the Processor processes Personal Data on behalf of the Controller.</w:t>
      </w:r>
    </w:p>
    <w:p>
      <w:pPr>
        <w:pStyle w:val="Heading1"/>
      </w:pPr>
      <w:r>
        <w:rPr>
          <w:color w:val="0F172A"/>
        </w:rPr>
        <w:t>11. Governing Law and Jurisdiction</w:t>
      </w:r>
    </w:p>
    <w:p>
      <w:r>
        <w:rPr>
          <w:b w:val="0"/>
          <w:i w:val="0"/>
        </w:rPr>
        <w:t>This DPA is governed by the laws of Ireland. The Parties submit to the exclusive jurisdiction of the courts of Ireland, without prejudice to any mandatory provisions of the GDPR.</w:t>
      </w:r>
    </w:p>
    <w:p>
      <w:pPr>
        <w:pStyle w:val="Heading1"/>
      </w:pPr>
      <w:r>
        <w:rPr>
          <w:color w:val="0F172A"/>
        </w:rPr>
        <w:t>12. Signatures</w:t>
      </w:r>
    </w:p>
    <w:tbl>
      <w:tblPr>
        <w:tblStyle w:val="LightGrid"/>
        <w:tblW w:type="auto" w:w="0"/>
        <w:tblLook w:firstColumn="1" w:firstRow="1" w:lastColumn="0" w:lastRow="0" w:noHBand="0" w:noVBand="1" w:val="04A0"/>
      </w:tblPr>
      <w:tblGrid>
        <w:gridCol w:w="4320"/>
        <w:gridCol w:w="4320"/>
      </w:tblGrid>
      <w:tr>
        <w:tc>
          <w:tcPr>
            <w:tcW w:type="dxa" w:w="4320"/>
          </w:tcPr>
          <w:p>
            <w:r>
              <w:t>For the Controller</w:t>
            </w:r>
          </w:p>
        </w:tc>
        <w:tc>
          <w:tcPr>
            <w:tcW w:type="dxa" w:w="4320"/>
          </w:tcPr>
          <w:p>
            <w:r>
              <w:t>For the Processor (YARDtwin Ltd)</w:t>
            </w:r>
          </w:p>
        </w:tc>
      </w:tr>
      <w:tr>
        <w:tc>
          <w:tcPr>
            <w:tcW w:type="dxa" w:w="4320"/>
          </w:tcPr>
          <w:p>
            <w:r>
              <w:t>Signed:</w:t>
            </w:r>
          </w:p>
        </w:tc>
        <w:tc>
          <w:tcPr>
            <w:tcW w:type="dxa" w:w="4320"/>
          </w:tcPr>
          <w:p>
            <w:r>
              <w:t>Signed:</w:t>
            </w:r>
          </w:p>
        </w:tc>
      </w:tr>
      <w:tr>
        <w:tc>
          <w:tcPr>
            <w:tcW w:type="dxa" w:w="4320"/>
          </w:tcPr>
          <w:p>
            <w:r>
              <w:t>Name:</w:t>
            </w:r>
          </w:p>
        </w:tc>
        <w:tc>
          <w:tcPr>
            <w:tcW w:type="dxa" w:w="4320"/>
          </w:tcPr>
          <w:p>
            <w:r>
              <w:t>Name:</w:t>
            </w:r>
          </w:p>
        </w:tc>
      </w:tr>
      <w:tr>
        <w:tc>
          <w:tcPr>
            <w:tcW w:type="dxa" w:w="4320"/>
          </w:tcPr>
          <w:p>
            <w:r>
              <w:t>Title:</w:t>
            </w:r>
          </w:p>
        </w:tc>
        <w:tc>
          <w:tcPr>
            <w:tcW w:type="dxa" w:w="4320"/>
          </w:tcPr>
          <w:p>
            <w:r>
              <w:t>Title:</w:t>
            </w:r>
          </w:p>
        </w:tc>
      </w:tr>
      <w:tr>
        <w:tc>
          <w:tcPr>
            <w:tcW w:type="dxa" w:w="4320"/>
          </w:tcPr>
          <w:p>
            <w:r>
              <w:t>Date:</w:t>
            </w:r>
          </w:p>
        </w:tc>
        <w:tc>
          <w:tcPr>
            <w:tcW w:type="dxa" w:w="4320"/>
          </w:tcPr>
          <w:p>
            <w:r>
              <w:t>Date:</w:t>
            </w:r>
          </w:p>
        </w:tc>
      </w:tr>
    </w:tbl>
    <w:p>
      <w:r>
        <w:br w:type="page"/>
      </w:r>
    </w:p>
    <w:p>
      <w:pPr>
        <w:pStyle w:val="Heading1"/>
      </w:pPr>
      <w:r>
        <w:rPr>
          <w:color w:val="0F172A"/>
        </w:rPr>
        <w:t>Schedule 1 — Nature, Purpose, and Categories of Processing</w:t>
      </w:r>
    </w:p>
    <w:p>
      <w:pPr>
        <w:pStyle w:val="Heading2"/>
      </w:pPr>
      <w:r>
        <w:rPr>
          <w:color w:val="0F172A"/>
        </w:rPr>
        <w:t>1.1 Nature and purpose</w:t>
      </w:r>
    </w:p>
    <w:p>
      <w:r>
        <w:rPr>
          <w:b w:val="0"/>
          <w:i w:val="0"/>
        </w:rPr>
        <w:t>Provision of the YARDtwin yard management platform, including:</w:t>
      </w:r>
    </w:p>
    <w:p>
      <w:pPr>
        <w:pStyle w:val="ListBullet"/>
      </w:pPr>
      <w:r>
        <w:t>User authentication (including SSO/SAML 2.0 and MFA)</w:t>
      </w:r>
    </w:p>
    <w:p>
      <w:pPr>
        <w:pStyle w:val="ListBullet"/>
      </w:pPr>
      <w:r>
        <w:t>Dock and appointment scheduling</w:t>
      </w:r>
    </w:p>
    <w:p>
      <w:pPr>
        <w:pStyle w:val="ListBullet"/>
      </w:pPr>
      <w:r>
        <w:t>Gate check-in/check-out and driver verification</w:t>
      </w:r>
    </w:p>
    <w:p>
      <w:pPr>
        <w:pStyle w:val="ListBullet"/>
      </w:pPr>
      <w:r>
        <w:t>Yard and digital twin visualisation</w:t>
      </w:r>
    </w:p>
    <w:p>
      <w:pPr>
        <w:pStyle w:val="ListBullet"/>
      </w:pPr>
      <w:r>
        <w:t>Carrier, driver, and vehicle records</w:t>
      </w:r>
    </w:p>
    <w:p>
      <w:pPr>
        <w:pStyle w:val="ListBullet"/>
      </w:pPr>
      <w:r>
        <w:t>Inspections and seal/chain-of-custody management</w:t>
      </w:r>
    </w:p>
    <w:p>
      <w:pPr>
        <w:pStyle w:val="ListBullet"/>
      </w:pPr>
      <w:r>
        <w:t>GMP-compliant audit trail and analytics</w:t>
      </w:r>
    </w:p>
    <w:p>
      <w:pPr>
        <w:pStyle w:val="ListBullet"/>
      </w:pPr>
      <w:r>
        <w:t>Notifications (email, SMS where configured)</w:t>
      </w:r>
    </w:p>
    <w:p>
      <w:pPr>
        <w:pStyle w:val="Heading2"/>
      </w:pPr>
      <w:r>
        <w:rPr>
          <w:color w:val="0F172A"/>
        </w:rPr>
        <w:t>1.2 Duration</w:t>
      </w:r>
    </w:p>
    <w:p>
      <w:r>
        <w:rPr>
          <w:b w:val="0"/>
          <w:i w:val="0"/>
        </w:rPr>
        <w:t>For the term of the Agreement and as required by the retention periods in §1.6 below.</w:t>
      </w:r>
    </w:p>
    <w:p>
      <w:pPr>
        <w:pStyle w:val="Heading2"/>
      </w:pPr>
      <w:r>
        <w:rPr>
          <w:color w:val="0F172A"/>
        </w:rPr>
        <w:t>1.3 Categories of Data Subjects</w:t>
      </w:r>
    </w:p>
    <w:p>
      <w:pPr>
        <w:pStyle w:val="ListBullet"/>
      </w:pPr>
      <w:r>
        <w:t>Customer employees and administrators</w:t>
      </w:r>
    </w:p>
    <w:p>
      <w:pPr>
        <w:pStyle w:val="ListBullet"/>
      </w:pPr>
      <w:r>
        <w:t>Drivers and logistics personnel</w:t>
      </w:r>
    </w:p>
    <w:p>
      <w:pPr>
        <w:pStyle w:val="ListBullet"/>
      </w:pPr>
      <w:r>
        <w:t>Carrier representatives and contacts</w:t>
      </w:r>
    </w:p>
    <w:p>
      <w:pPr>
        <w:pStyle w:val="ListBullet"/>
      </w:pPr>
      <w:r>
        <w:t>Visitors checked in at the gate</w:t>
      </w:r>
    </w:p>
    <w:p>
      <w:pPr>
        <w:pStyle w:val="Heading2"/>
      </w:pPr>
      <w:r>
        <w:rPr>
          <w:color w:val="0F172A"/>
        </w:rPr>
        <w:t>1.4 Categories of Personal Data</w:t>
      </w:r>
    </w:p>
    <w:p>
      <w:pPr>
        <w:pStyle w:val="ListBullet"/>
      </w:pPr>
      <w:r>
        <w:t>Identification: name, email, phone, employee/driver ID</w:t>
      </w:r>
    </w:p>
    <w:p>
      <w:pPr>
        <w:pStyle w:val="ListBullet"/>
      </w:pPr>
      <w:r>
        <w:t>Authentication: password hash (bcrypt, 12 rounds), MFA secrets, SSO identifiers</w:t>
      </w:r>
    </w:p>
    <w:p>
      <w:pPr>
        <w:pStyle w:val="ListBullet"/>
      </w:pPr>
      <w:r>
        <w:t>Professional: company, role, carrier affiliation</w:t>
      </w:r>
    </w:p>
    <w:p>
      <w:pPr>
        <w:pStyle w:val="ListBullet"/>
      </w:pPr>
      <w:r>
        <w:t>Activity: login history, appointment and check-in records, audit events</w:t>
      </w:r>
    </w:p>
    <w:p>
      <w:pPr>
        <w:pStyle w:val="ListBullet"/>
      </w:pPr>
      <w:r>
        <w:t>Vehicle: licence plate, trailer number (may identify an individual driver)</w:t>
      </w:r>
    </w:p>
    <w:p>
      <w:pPr>
        <w:pStyle w:val="ListBullet"/>
      </w:pPr>
      <w:r>
        <w:t>Optional photo ID capture for gate verification (where enabled)</w:t>
      </w:r>
    </w:p>
    <w:p>
      <w:pPr>
        <w:pStyle w:val="Heading2"/>
      </w:pPr>
      <w:r>
        <w:rPr>
          <w:color w:val="0F172A"/>
        </w:rPr>
        <w:t>1.5 Special categories</w:t>
      </w:r>
    </w:p>
    <w:p>
      <w:r>
        <w:rPr>
          <w:b w:val="0"/>
          <w:i w:val="0"/>
        </w:rPr>
        <w:t>The Processor does not require or solicit special categories of Personal Data under Article 9 GDPR. The Controller agrees not to upload such data into the platform.</w:t>
      </w:r>
    </w:p>
    <w:p>
      <w:pPr>
        <w:pStyle w:val="Heading2"/>
      </w:pPr>
      <w:r>
        <w:rPr>
          <w:color w:val="0F172A"/>
        </w:rPr>
        <w:t>1.6 Retention</w:t>
      </w:r>
    </w:p>
    <w:tbl>
      <w:tblPr>
        <w:tblStyle w:val="LightGrid-Accent1"/>
        <w:tblW w:type="auto" w:w="0"/>
        <w:tblLook w:firstColumn="1" w:firstRow="1" w:lastColumn="0" w:lastRow="0" w:noHBand="0" w:noVBand="1" w:val="04A0"/>
      </w:tblPr>
      <w:tblGrid>
        <w:gridCol w:w="4320"/>
        <w:gridCol w:w="4320"/>
      </w:tblGrid>
      <w:tr>
        <w:tc>
          <w:tcPr>
            <w:tcW w:type="dxa" w:w="4320"/>
          </w:tcPr>
          <w:p>
            <w:r>
              <w:t>Audit trail (GMP)</w:t>
            </w:r>
          </w:p>
        </w:tc>
        <w:tc>
          <w:tcPr>
            <w:tcW w:type="dxa" w:w="4320"/>
          </w:tcPr>
          <w:p>
            <w:r>
              <w:t>Minimum 6 years, append-only</w:t>
            </w:r>
          </w:p>
        </w:tc>
      </w:tr>
      <w:tr>
        <w:tc>
          <w:tcPr>
            <w:tcW w:type="dxa" w:w="4320"/>
          </w:tcPr>
          <w:p>
            <w:r>
              <w:t>Appointment records</w:t>
            </w:r>
          </w:p>
        </w:tc>
        <w:tc>
          <w:tcPr>
            <w:tcW w:type="dxa" w:w="4320"/>
          </w:tcPr>
          <w:p>
            <w:r>
              <w:t>3 years after completion</w:t>
            </w:r>
          </w:p>
        </w:tc>
      </w:tr>
      <w:tr>
        <w:tc>
          <w:tcPr>
            <w:tcW w:type="dxa" w:w="4320"/>
          </w:tcPr>
          <w:p>
            <w:r>
              <w:t>User accounts</w:t>
            </w:r>
          </w:p>
        </w:tc>
        <w:tc>
          <w:tcPr>
            <w:tcW w:type="dxa" w:w="4320"/>
          </w:tcPr>
          <w:p>
            <w:r>
              <w:t>Duration of Agreement + 90 days</w:t>
            </w:r>
          </w:p>
        </w:tc>
      </w:tr>
      <w:tr>
        <w:tc>
          <w:tcPr>
            <w:tcW w:type="dxa" w:w="4320"/>
          </w:tcPr>
          <w:p>
            <w:r>
              <w:t>Session logs</w:t>
            </w:r>
          </w:p>
        </w:tc>
        <w:tc>
          <w:tcPr>
            <w:tcW w:type="dxa" w:w="4320"/>
          </w:tcPr>
          <w:p>
            <w:r>
              <w:t>90 days</w:t>
            </w:r>
          </w:p>
        </w:tc>
      </w:tr>
      <w:tr>
        <w:tc>
          <w:tcPr>
            <w:tcW w:type="dxa" w:w="4320"/>
          </w:tcPr>
          <w:p>
            <w:r>
              <w:t>Backups</w:t>
            </w:r>
          </w:p>
        </w:tc>
        <w:tc>
          <w:tcPr>
            <w:tcW w:type="dxa" w:w="4320"/>
          </w:tcPr>
          <w:p>
            <w:r>
              <w:t>7 days (point-in-time recovery)</w:t>
            </w:r>
          </w:p>
        </w:tc>
      </w:tr>
      <w:tr>
        <w:tc>
          <w:tcPr>
            <w:tcW w:type="dxa" w:w="4320"/>
          </w:tcPr>
          <w:p>
            <w:r>
              <w:t>WAF / security logs</w:t>
            </w:r>
          </w:p>
        </w:tc>
        <w:tc>
          <w:tcPr>
            <w:tcW w:type="dxa" w:w="4320"/>
          </w:tcPr>
          <w:p>
            <w:r>
              <w:t>90 days</w:t>
            </w:r>
          </w:p>
        </w:tc>
      </w:tr>
    </w:tbl>
    <w:p>
      <w:r>
        <w:br w:type="page"/>
      </w:r>
    </w:p>
    <w:p>
      <w:pPr>
        <w:pStyle w:val="Heading1"/>
      </w:pPr>
      <w:r>
        <w:rPr>
          <w:color w:val="0F172A"/>
        </w:rPr>
        <w:t>Schedule 2 — Authorised Sub-processors</w:t>
      </w:r>
    </w:p>
    <w:p>
      <w:r>
        <w:rPr>
          <w:b w:val="0"/>
          <w:i w:val="0"/>
        </w:rPr>
        <w:t>As of the effective date of this DPA, the Processor uses the following sub-processors: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Sub-processor</w:t>
            </w:r>
          </w:p>
        </w:tc>
        <w:tc>
          <w:tcPr>
            <w:tcW w:type="dxa" w:w="2160"/>
          </w:tcPr>
          <w:p>
            <w:r>
              <w:rPr>
                <w:b/>
              </w:rPr>
              <w:t>Purpose</w:t>
            </w:r>
          </w:p>
        </w:tc>
        <w:tc>
          <w:tcPr>
            <w:tcW w:type="dxa" w:w="2160"/>
          </w:tcPr>
          <w:p>
            <w:r>
              <w:rPr>
                <w:b/>
              </w:rPr>
              <w:t>Location</w:t>
            </w:r>
          </w:p>
        </w:tc>
        <w:tc>
          <w:tcPr>
            <w:tcW w:type="dxa" w:w="2160"/>
          </w:tcPr>
          <w:p>
            <w:r>
              <w:rPr>
                <w:b/>
              </w:rPr>
              <w:t>Transfer mechanism</w:t>
            </w:r>
          </w:p>
        </w:tc>
      </w:tr>
      <w:tr>
        <w:tc>
          <w:tcPr>
            <w:tcW w:type="dxa" w:w="2160"/>
          </w:tcPr>
          <w:p>
            <w:r>
              <w:t>Microsoft Azure</w:t>
            </w:r>
          </w:p>
        </w:tc>
        <w:tc>
          <w:tcPr>
            <w:tcW w:type="dxa" w:w="2160"/>
          </w:tcPr>
          <w:p>
            <w:r>
              <w:t>Cloud hosting, storage, Key Vault, WAF, SIEM</w:t>
            </w:r>
          </w:p>
        </w:tc>
        <w:tc>
          <w:tcPr>
            <w:tcW w:type="dxa" w:w="2160"/>
          </w:tcPr>
          <w:p>
            <w:r>
              <w:t>EU (Norway East, Sweden Central)</w:t>
            </w:r>
          </w:p>
        </w:tc>
        <w:tc>
          <w:tcPr>
            <w:tcW w:type="dxa" w:w="2160"/>
          </w:tcPr>
          <w:p>
            <w:r>
              <w:t>Within EU/EEA</w:t>
            </w:r>
          </w:p>
        </w:tc>
      </w:tr>
      <w:tr>
        <w:tc>
          <w:tcPr>
            <w:tcW w:type="dxa" w:w="2160"/>
          </w:tcPr>
          <w:p>
            <w:r>
              <w:t>DigiCert</w:t>
            </w:r>
          </w:p>
        </w:tc>
        <w:tc>
          <w:tcPr>
            <w:tcW w:type="dxa" w:w="2160"/>
          </w:tcPr>
          <w:p>
            <w:r>
              <w:t>TLS certificate issuance</w:t>
            </w:r>
          </w:p>
        </w:tc>
        <w:tc>
          <w:tcPr>
            <w:tcW w:type="dxa" w:w="2160"/>
          </w:tcPr>
          <w:p>
            <w:r>
              <w:t>US (CA only, no Personal Data)</w:t>
            </w:r>
          </w:p>
        </w:tc>
        <w:tc>
          <w:tcPr>
            <w:tcW w:type="dxa" w:w="2160"/>
          </w:tcPr>
          <w:p>
            <w:r>
              <w:t>No Personal Data transferred</w:t>
            </w:r>
          </w:p>
        </w:tc>
      </w:tr>
      <w:tr>
        <w:tc>
          <w:tcPr>
            <w:tcW w:type="dxa" w:w="2160"/>
          </w:tcPr>
          <w:p>
            <w:r>
              <w:t>Resend</w:t>
            </w:r>
          </w:p>
        </w:tc>
        <w:tc>
          <w:tcPr>
            <w:tcW w:type="dxa" w:w="2160"/>
          </w:tcPr>
          <w:p>
            <w:r>
              <w:t>Transactional email delivery</w:t>
            </w:r>
          </w:p>
        </w:tc>
        <w:tc>
          <w:tcPr>
            <w:tcW w:type="dxa" w:w="2160"/>
          </w:tcPr>
          <w:p>
            <w:r>
              <w:t>EU</w:t>
            </w:r>
          </w:p>
        </w:tc>
        <w:tc>
          <w:tcPr>
            <w:tcW w:type="dxa" w:w="2160"/>
          </w:tcPr>
          <w:p>
            <w:r>
              <w:t>Within EU/EEA</w:t>
            </w:r>
          </w:p>
        </w:tc>
      </w:tr>
      <w:tr>
        <w:tc>
          <w:tcPr>
            <w:tcW w:type="dxa" w:w="2160"/>
          </w:tcPr>
          <w:p>
            <w:r>
              <w:t>Stripe Payments Europe Ltd</w:t>
            </w:r>
          </w:p>
        </w:tc>
        <w:tc>
          <w:tcPr>
            <w:tcW w:type="dxa" w:w="2160"/>
          </w:tcPr>
          <w:p>
            <w:r>
              <w:t>Subscription billing</w:t>
            </w:r>
          </w:p>
        </w:tc>
        <w:tc>
          <w:tcPr>
            <w:tcW w:type="dxa" w:w="2160"/>
          </w:tcPr>
          <w:p>
            <w:r>
              <w:t>EU (Ireland)</w:t>
            </w:r>
          </w:p>
        </w:tc>
        <w:tc>
          <w:tcPr>
            <w:tcW w:type="dxa" w:w="2160"/>
          </w:tcPr>
          <w:p>
            <w:r>
              <w:t>Within EU/EEA</w:t>
            </w:r>
          </w:p>
        </w:tc>
      </w:tr>
      <w:tr>
        <w:tc>
          <w:tcPr>
            <w:tcW w:type="dxa" w:w="2160"/>
          </w:tcPr>
          <w:p>
            <w:r>
              <w:t>Twilio (if SMS enabled)</w:t>
            </w:r>
          </w:p>
        </w:tc>
        <w:tc>
          <w:tcPr>
            <w:tcW w:type="dxa" w:w="2160"/>
          </w:tcPr>
          <w:p>
            <w:r>
              <w:t>SMS notifications</w:t>
            </w:r>
          </w:p>
        </w:tc>
        <w:tc>
          <w:tcPr>
            <w:tcW w:type="dxa" w:w="2160"/>
          </w:tcPr>
          <w:p>
            <w:r>
              <w:t>EU (Ireland)</w:t>
            </w:r>
          </w:p>
        </w:tc>
        <w:tc>
          <w:tcPr>
            <w:tcW w:type="dxa" w:w="2160"/>
          </w:tcPr>
          <w:p>
            <w:r>
              <w:t>Within EU/EEA; SCCs where applicable</w:t>
            </w:r>
          </w:p>
        </w:tc>
      </w:tr>
    </w:tbl>
    <w:p>
      <w:r>
        <w:br w:type="page"/>
      </w:r>
    </w:p>
    <w:p>
      <w:pPr>
        <w:pStyle w:val="Heading1"/>
      </w:pPr>
      <w:r>
        <w:rPr>
          <w:color w:val="0F172A"/>
        </w:rPr>
        <w:t>Schedule 3 — Technical and Organisational Measures (TOMs)</w:t>
      </w:r>
    </w:p>
    <w:p>
      <w:r>
        <w:rPr>
          <w:b w:val="0"/>
          <w:i w:val="0"/>
        </w:rPr>
        <w:t>The Processor implements the following TOMs in accordance with Article 32 GDPR. These measures are reviewed at least annually and may be updated provided the overall level of protection is not reduced.</w:t>
      </w:r>
    </w:p>
    <w:p>
      <w:pPr>
        <w:pStyle w:val="Heading2"/>
      </w:pPr>
      <w:r>
        <w:rPr>
          <w:color w:val="0F172A"/>
        </w:rPr>
        <w:t>3.1 Pseudonymisation and encryption</w:t>
      </w:r>
    </w:p>
    <w:tbl>
      <w:tblPr>
        <w:tblStyle w:val="LightGrid-Accent1"/>
        <w:tblW w:type="auto" w:w="0"/>
        <w:tblLook w:firstColumn="1" w:firstRow="1" w:lastColumn="0" w:lastRow="0" w:noHBand="0" w:noVBand="1" w:val="04A0"/>
      </w:tblPr>
      <w:tblGrid>
        <w:gridCol w:w="4320"/>
        <w:gridCol w:w="4320"/>
      </w:tblGrid>
      <w:tr>
        <w:tc>
          <w:tcPr>
            <w:tcW w:type="dxa" w:w="4320"/>
          </w:tcPr>
          <w:p>
            <w:r>
              <w:rPr>
                <w:b/>
              </w:rPr>
              <w:t>Measure</w:t>
            </w:r>
          </w:p>
        </w:tc>
        <w:tc>
          <w:tcPr>
            <w:tcW w:type="dxa" w:w="4320"/>
          </w:tcPr>
          <w:p>
            <w:r>
              <w:rPr>
                <w:b/>
              </w:rPr>
              <w:t>Implementation</w:t>
            </w:r>
          </w:p>
        </w:tc>
      </w:tr>
      <w:tr>
        <w:tc>
          <w:tcPr>
            <w:tcW w:type="dxa" w:w="4320"/>
          </w:tcPr>
          <w:p>
            <w:r>
              <w:t>Encryption at rest</w:t>
            </w:r>
          </w:p>
        </w:tc>
        <w:tc>
          <w:tcPr>
            <w:tcW w:type="dxa" w:w="4320"/>
          </w:tcPr>
          <w:p>
            <w:r>
              <w:t>AES-256 via Azure PostgreSQL and Azure Blob Storage</w:t>
            </w:r>
          </w:p>
        </w:tc>
      </w:tr>
      <w:tr>
        <w:tc>
          <w:tcPr>
            <w:tcW w:type="dxa" w:w="4320"/>
          </w:tcPr>
          <w:p>
            <w:r>
              <w:t>Encryption in transit</w:t>
            </w:r>
          </w:p>
        </w:tc>
        <w:tc>
          <w:tcPr>
            <w:tcW w:type="dxa" w:w="4320"/>
          </w:tcPr>
          <w:p>
            <w:r>
              <w:t>TLS 1.3 (AES-256-GCM) enforced end-to-end</w:t>
            </w:r>
          </w:p>
        </w:tc>
      </w:tr>
      <w:tr>
        <w:tc>
          <w:tcPr>
            <w:tcW w:type="dxa" w:w="4320"/>
          </w:tcPr>
          <w:p>
            <w:r>
              <w:t>Password storage</w:t>
            </w:r>
          </w:p>
        </w:tc>
        <w:tc>
          <w:tcPr>
            <w:tcW w:type="dxa" w:w="4320"/>
          </w:tcPr>
          <w:p>
            <w:r>
              <w:t>bcrypt with 12 rounds, never stored in plaintext</w:t>
            </w:r>
          </w:p>
        </w:tc>
      </w:tr>
      <w:tr>
        <w:tc>
          <w:tcPr>
            <w:tcW w:type="dxa" w:w="4320"/>
          </w:tcPr>
          <w:p>
            <w:r>
              <w:t>Secrets management</w:t>
            </w:r>
          </w:p>
        </w:tc>
        <w:tc>
          <w:tcPr>
            <w:tcW w:type="dxa" w:w="4320"/>
          </w:tcPr>
          <w:p>
            <w:r>
              <w:t>Azure Key Vault with RBAC and audit logging</w:t>
            </w:r>
          </w:p>
        </w:tc>
      </w:tr>
    </w:tbl>
    <w:p>
      <w:pPr>
        <w:pStyle w:val="Heading2"/>
      </w:pPr>
      <w:r>
        <w:rPr>
          <w:color w:val="0F172A"/>
        </w:rPr>
        <w:t>3.2 Confidentiality, integrity, availability, resilience</w:t>
      </w:r>
    </w:p>
    <w:tbl>
      <w:tblPr>
        <w:tblStyle w:val="LightGrid-Accent1"/>
        <w:tblW w:type="auto" w:w="0"/>
        <w:tblLook w:firstColumn="1" w:firstRow="1" w:lastColumn="0" w:lastRow="0" w:noHBand="0" w:noVBand="1" w:val="04A0"/>
      </w:tblPr>
      <w:tblGrid>
        <w:gridCol w:w="4320"/>
        <w:gridCol w:w="4320"/>
      </w:tblGrid>
      <w:tr>
        <w:tc>
          <w:tcPr>
            <w:tcW w:type="dxa" w:w="4320"/>
          </w:tcPr>
          <w:p>
            <w:r>
              <w:rPr>
                <w:b/>
              </w:rPr>
              <w:t>Measure</w:t>
            </w:r>
          </w:p>
        </w:tc>
        <w:tc>
          <w:tcPr>
            <w:tcW w:type="dxa" w:w="4320"/>
          </w:tcPr>
          <w:p>
            <w:r>
              <w:rPr>
                <w:b/>
              </w:rPr>
              <w:t>Implementation</w:t>
            </w:r>
          </w:p>
        </w:tc>
      </w:tr>
      <w:tr>
        <w:tc>
          <w:tcPr>
            <w:tcW w:type="dxa" w:w="4320"/>
          </w:tcPr>
          <w:p>
            <w:r>
              <w:t>Access control</w:t>
            </w:r>
          </w:p>
        </w:tc>
        <w:tc>
          <w:tcPr>
            <w:tcW w:type="dxa" w:w="4320"/>
          </w:tcPr>
          <w:p>
            <w:r>
              <w:t>Role-based access control (8 roles), route-level enforcement, tenant isolation</w:t>
            </w:r>
          </w:p>
        </w:tc>
      </w:tr>
      <w:tr>
        <w:tc>
          <w:tcPr>
            <w:tcW w:type="dxa" w:w="4320"/>
          </w:tcPr>
          <w:p>
            <w:r>
              <w:t>Authentication</w:t>
            </w:r>
          </w:p>
        </w:tc>
        <w:tc>
          <w:tcPr>
            <w:tcW w:type="dxa" w:w="4320"/>
          </w:tcPr>
          <w:p>
            <w:r>
              <w:t>Password + MFA (TOTP), SSO/SAML 2.0, breached-password check (HIBP k-anonymity)</w:t>
            </w:r>
          </w:p>
        </w:tc>
      </w:tr>
      <w:tr>
        <w:tc>
          <w:tcPr>
            <w:tcW w:type="dxa" w:w="4320"/>
          </w:tcPr>
          <w:p>
            <w:r>
              <w:t>Network security</w:t>
            </w:r>
          </w:p>
        </w:tc>
        <w:tc>
          <w:tcPr>
            <w:tcW w:type="dxa" w:w="4320"/>
          </w:tcPr>
          <w:p>
            <w:r>
              <w:t>Azure Front Door WAF in Prevention mode; DB firewall restricted to App Service</w:t>
            </w:r>
          </w:p>
        </w:tc>
      </w:tr>
      <w:tr>
        <w:tc>
          <w:tcPr>
            <w:tcW w:type="dxa" w:w="4320"/>
          </w:tcPr>
          <w:p>
            <w:r>
              <w:t>CSP</w:t>
            </w:r>
          </w:p>
        </w:tc>
        <w:tc>
          <w:tcPr>
            <w:tcW w:type="dxa" w:w="4320"/>
          </w:tcPr>
          <w:p>
            <w:r>
              <w:t>Strict Content Security Policy with per-request nonces, HSTS 2-year preload</w:t>
            </w:r>
          </w:p>
        </w:tc>
      </w:tr>
      <w:tr>
        <w:tc>
          <w:tcPr>
            <w:tcW w:type="dxa" w:w="4320"/>
          </w:tcPr>
          <w:p>
            <w:r>
              <w:t>Backups</w:t>
            </w:r>
          </w:p>
        </w:tc>
        <w:tc>
          <w:tcPr>
            <w:tcW w:type="dxa" w:w="4320"/>
          </w:tcPr>
          <w:p>
            <w:r>
              <w:t>Azure automated backups with 7-day point-in-time recovery</w:t>
            </w:r>
          </w:p>
        </w:tc>
      </w:tr>
      <w:tr>
        <w:tc>
          <w:tcPr>
            <w:tcW w:type="dxa" w:w="4320"/>
          </w:tcPr>
          <w:p>
            <w:r>
              <w:t>Monitoring</w:t>
            </w:r>
          </w:p>
        </w:tc>
        <w:tc>
          <w:tcPr>
            <w:tcW w:type="dxa" w:w="4320"/>
          </w:tcPr>
          <w:p>
            <w:r>
              <w:t>Application Insights + Microsoft Sentinel, 90-day retention, alerting enabled</w:t>
            </w:r>
          </w:p>
        </w:tc>
      </w:tr>
      <w:tr>
        <w:tc>
          <w:tcPr>
            <w:tcW w:type="dxa" w:w="4320"/>
          </w:tcPr>
          <w:p>
            <w:r>
              <w:t>Audit trail</w:t>
            </w:r>
          </w:p>
        </w:tc>
        <w:tc>
          <w:tcPr>
            <w:tcW w:type="dxa" w:w="4320"/>
          </w:tcPr>
          <w:p>
            <w:r>
              <w:t>Append-only, ALCOA+ compliant, meets EU GMP Annex 11 and 21 CFR Part 11</w:t>
            </w:r>
          </w:p>
        </w:tc>
      </w:tr>
    </w:tbl>
    <w:p>
      <w:pPr>
        <w:pStyle w:val="Heading2"/>
      </w:pPr>
      <w:r>
        <w:rPr>
          <w:color w:val="0F172A"/>
        </w:rPr>
        <w:t>3.3 Testing and evaluation</w:t>
      </w:r>
    </w:p>
    <w:tbl>
      <w:tblPr>
        <w:tblStyle w:val="LightGrid-Accent1"/>
        <w:tblW w:type="auto" w:w="0"/>
        <w:tblLook w:firstColumn="1" w:firstRow="1" w:lastColumn="0" w:lastRow="0" w:noHBand="0" w:noVBand="1" w:val="04A0"/>
      </w:tblPr>
      <w:tblGrid>
        <w:gridCol w:w="4320"/>
        <w:gridCol w:w="4320"/>
      </w:tblGrid>
      <w:tr>
        <w:tc>
          <w:tcPr>
            <w:tcW w:type="dxa" w:w="4320"/>
          </w:tcPr>
          <w:p>
            <w:r>
              <w:rPr>
                <w:b/>
              </w:rPr>
              <w:t>Measure</w:t>
            </w:r>
          </w:p>
        </w:tc>
        <w:tc>
          <w:tcPr>
            <w:tcW w:type="dxa" w:w="4320"/>
          </w:tcPr>
          <w:p>
            <w:r>
              <w:rPr>
                <w:b/>
              </w:rPr>
              <w:t>Implementation</w:t>
            </w:r>
          </w:p>
        </w:tc>
      </w:tr>
      <w:tr>
        <w:tc>
          <w:tcPr>
            <w:tcW w:type="dxa" w:w="4320"/>
          </w:tcPr>
          <w:p>
            <w:r>
              <w:t>Penetration testing</w:t>
            </w:r>
          </w:p>
        </w:tc>
        <w:tc>
          <w:tcPr>
            <w:tcW w:type="dxa" w:w="4320"/>
          </w:tcPr>
          <w:p>
            <w:r>
              <w:t>Annual third-party and internal quarterly (10 OWASP categories)</w:t>
            </w:r>
          </w:p>
        </w:tc>
      </w:tr>
      <w:tr>
        <w:tc>
          <w:tcPr>
            <w:tcW w:type="dxa" w:w="4320"/>
          </w:tcPr>
          <w:p>
            <w:r>
              <w:t>Vulnerability scanning</w:t>
            </w:r>
          </w:p>
        </w:tc>
        <w:tc>
          <w:tcPr>
            <w:tcW w:type="dxa" w:w="4320"/>
          </w:tcPr>
          <w:p>
            <w:r>
              <w:t>Weekly npm audit, Azure Security Center continuous assessment</w:t>
            </w:r>
          </w:p>
        </w:tc>
      </w:tr>
      <w:tr>
        <w:tc>
          <w:tcPr>
            <w:tcW w:type="dxa" w:w="4320"/>
          </w:tcPr>
          <w:p>
            <w:r>
              <w:t>Code review</w:t>
            </w:r>
          </w:p>
        </w:tc>
        <w:tc>
          <w:tcPr>
            <w:tcW w:type="dxa" w:w="4320"/>
          </w:tcPr>
          <w:p>
            <w:r>
              <w:t>All changes peer-reviewed; security-sensitive changes tagged for second review</w:t>
            </w:r>
          </w:p>
        </w:tc>
      </w:tr>
      <w:tr>
        <w:tc>
          <w:tcPr>
            <w:tcW w:type="dxa" w:w="4320"/>
          </w:tcPr>
          <w:p>
            <w:r>
              <w:t>Disaster recovery</w:t>
            </w:r>
          </w:p>
        </w:tc>
        <w:tc>
          <w:tcPr>
            <w:tcW w:type="dxa" w:w="4320"/>
          </w:tcPr>
          <w:p>
            <w:r>
              <w:t>Quarterly restore drills from backup to staging environment</w:t>
            </w:r>
          </w:p>
        </w:tc>
      </w:tr>
    </w:tbl>
    <w:p>
      <w:pPr>
        <w:pStyle w:val="Heading2"/>
      </w:pPr>
      <w:r>
        <w:rPr>
          <w:color w:val="0F172A"/>
        </w:rPr>
        <w:t>3.4 Incident response</w:t>
      </w:r>
    </w:p>
    <w:tbl>
      <w:tblPr>
        <w:tblStyle w:val="LightGrid-Accent1"/>
        <w:tblW w:type="auto" w:w="0"/>
        <w:tblLook w:firstColumn="1" w:firstRow="1" w:lastColumn="0" w:lastRow="0" w:noHBand="0" w:noVBand="1" w:val="04A0"/>
      </w:tblPr>
      <w:tblGrid>
        <w:gridCol w:w="4320"/>
        <w:gridCol w:w="4320"/>
      </w:tblGrid>
      <w:tr>
        <w:tc>
          <w:tcPr>
            <w:tcW w:type="dxa" w:w="4320"/>
          </w:tcPr>
          <w:p>
            <w:r>
              <w:rPr>
                <w:b/>
              </w:rPr>
              <w:t>Measure</w:t>
            </w:r>
          </w:p>
        </w:tc>
        <w:tc>
          <w:tcPr>
            <w:tcW w:type="dxa" w:w="4320"/>
          </w:tcPr>
          <w:p>
            <w:r>
              <w:rPr>
                <w:b/>
              </w:rPr>
              <w:t>Implementation</w:t>
            </w:r>
          </w:p>
        </w:tc>
      </w:tr>
      <w:tr>
        <w:tc>
          <w:tcPr>
            <w:tcW w:type="dxa" w:w="4320"/>
          </w:tcPr>
          <w:p>
            <w:r>
              <w:t>Breach notification</w:t>
            </w:r>
          </w:p>
        </w:tc>
        <w:tc>
          <w:tcPr>
            <w:tcW w:type="dxa" w:w="4320"/>
          </w:tcPr>
          <w:p>
            <w:r>
              <w:t>Controller notified within 48 hours of awareness of a Personal Data Breach</w:t>
            </w:r>
          </w:p>
        </w:tc>
      </w:tr>
      <w:tr>
        <w:tc>
          <w:tcPr>
            <w:tcW w:type="dxa" w:w="4320"/>
          </w:tcPr>
          <w:p>
            <w:r>
              <w:t>Runbook</w:t>
            </w:r>
          </w:p>
        </w:tc>
        <w:tc>
          <w:tcPr>
            <w:tcW w:type="dxa" w:w="4320"/>
          </w:tcPr>
          <w:p>
            <w:r>
              <w:t>Documented IR plan reviewed annually; on-call rotation for security incidents</w:t>
            </w:r>
          </w:p>
        </w:tc>
      </w:tr>
      <w:tr>
        <w:tc>
          <w:tcPr>
            <w:tcW w:type="dxa" w:w="4320"/>
          </w:tcPr>
          <w:p>
            <w:r>
              <w:t>Post-incident review</w:t>
            </w:r>
          </w:p>
        </w:tc>
        <w:tc>
          <w:tcPr>
            <w:tcW w:type="dxa" w:w="4320"/>
          </w:tcPr>
          <w:p>
            <w:r>
              <w:t>Root cause analysis shared with affected Controllers</w:t>
            </w:r>
          </w:p>
        </w:tc>
      </w:tr>
    </w:tbl>
    <w:p>
      <w:pPr>
        <w:pStyle w:val="Heading2"/>
      </w:pPr>
      <w:r>
        <w:rPr>
          <w:color w:val="0F172A"/>
        </w:rPr>
        <w:t>3.5 Organisational measures</w:t>
      </w:r>
    </w:p>
    <w:tbl>
      <w:tblPr>
        <w:tblStyle w:val="LightGrid-Accent1"/>
        <w:tblW w:type="auto" w:w="0"/>
        <w:tblLook w:firstColumn="1" w:firstRow="1" w:lastColumn="0" w:lastRow="0" w:noHBand="0" w:noVBand="1" w:val="04A0"/>
      </w:tblPr>
      <w:tblGrid>
        <w:gridCol w:w="4320"/>
        <w:gridCol w:w="4320"/>
      </w:tblGrid>
      <w:tr>
        <w:tc>
          <w:tcPr>
            <w:tcW w:type="dxa" w:w="4320"/>
          </w:tcPr>
          <w:p>
            <w:r>
              <w:rPr>
                <w:b/>
              </w:rPr>
              <w:t>Measure</w:t>
            </w:r>
          </w:p>
        </w:tc>
        <w:tc>
          <w:tcPr>
            <w:tcW w:type="dxa" w:w="4320"/>
          </w:tcPr>
          <w:p>
            <w:r>
              <w:rPr>
                <w:b/>
              </w:rPr>
              <w:t>Implementation</w:t>
            </w:r>
          </w:p>
        </w:tc>
      </w:tr>
      <w:tr>
        <w:tc>
          <w:tcPr>
            <w:tcW w:type="dxa" w:w="4320"/>
          </w:tcPr>
          <w:p>
            <w:r>
              <w:t>Personnel</w:t>
            </w:r>
          </w:p>
        </w:tc>
        <w:tc>
          <w:tcPr>
            <w:tcW w:type="dxa" w:w="4320"/>
          </w:tcPr>
          <w:p>
            <w:r>
              <w:t>All staff bound by confidentiality; background checks where permitted by local law</w:t>
            </w:r>
          </w:p>
        </w:tc>
      </w:tr>
      <w:tr>
        <w:tc>
          <w:tcPr>
            <w:tcW w:type="dxa" w:w="4320"/>
          </w:tcPr>
          <w:p>
            <w:r>
              <w:t>Training</w:t>
            </w:r>
          </w:p>
        </w:tc>
        <w:tc>
          <w:tcPr>
            <w:tcW w:type="dxa" w:w="4320"/>
          </w:tcPr>
          <w:p>
            <w:r>
              <w:t>Annual security and GDPR awareness training for all engineering staff</w:t>
            </w:r>
          </w:p>
        </w:tc>
      </w:tr>
      <w:tr>
        <w:tc>
          <w:tcPr>
            <w:tcW w:type="dxa" w:w="4320"/>
          </w:tcPr>
          <w:p>
            <w:r>
              <w:t>Change management</w:t>
            </w:r>
          </w:p>
        </w:tc>
        <w:tc>
          <w:tcPr>
            <w:tcW w:type="dxa" w:w="4320"/>
          </w:tcPr>
          <w:p>
            <w:r>
              <w:t>Staging environment + deployment slots; rollback plan for each release</w:t>
            </w:r>
          </w:p>
        </w:tc>
      </w:tr>
      <w:tr>
        <w:tc>
          <w:tcPr>
            <w:tcW w:type="dxa" w:w="4320"/>
          </w:tcPr>
          <w:p>
            <w:r>
              <w:t>Physical security</w:t>
            </w:r>
          </w:p>
        </w:tc>
        <w:tc>
          <w:tcPr>
            <w:tcW w:type="dxa" w:w="4320"/>
          </w:tcPr>
          <w:p>
            <w:r>
              <w:t>Inherited from Microsoft Azure (ISO 27001, SOC 2, EN 50600)</w:t>
            </w:r>
          </w:p>
        </w:tc>
      </w:tr>
    </w:tbl>
    <w:p>
      <w:r>
        <w:br w:type="page"/>
      </w:r>
    </w:p>
    <w:p>
      <w:pPr>
        <w:pStyle w:val="Heading1"/>
      </w:pPr>
      <w:r>
        <w:rPr>
          <w:color w:val="0F172A"/>
        </w:rPr>
        <w:t>Schedule 4 — Standard Contractual Clauses (where required)</w:t>
      </w:r>
    </w:p>
    <w:p>
      <w:r>
        <w:rPr>
          <w:b w:val="0"/>
          <w:i w:val="0"/>
        </w:rPr>
        <w:t>Where and to the extent that Personal Data is transferred by the Processor (or a sub-processor) outside the EU/EEA to a country not covered by an adequacy decision, the Parties agree to enter into the Standard Contractual Clauses approved by the European Commission in Decision 2021/914 (the "EU SCCs"), as follows:</w:t>
      </w:r>
    </w:p>
    <w:p>
      <w:pPr>
        <w:pStyle w:val="ListBullet"/>
      </w:pPr>
      <w:r>
        <w:t>Module Two (Controller-to-Processor) applies between the Controller and the Processor.</w:t>
      </w:r>
    </w:p>
    <w:p>
      <w:pPr>
        <w:pStyle w:val="ListBullet"/>
      </w:pPr>
      <w:r>
        <w:t>Module Three (Processor-to-Processor) applies between the Processor and any onward sub-processor.</w:t>
      </w:r>
    </w:p>
    <w:p>
      <w:pPr>
        <w:pStyle w:val="ListBullet"/>
      </w:pPr>
      <w:r>
        <w:t>For Clause 7 (Docking Clause): the optional docking clause applies.</w:t>
      </w:r>
    </w:p>
    <w:p>
      <w:pPr>
        <w:pStyle w:val="ListBullet"/>
      </w:pPr>
      <w:r>
        <w:t>For Clause 9 (Sub-processors): Option 2 (general written authorisation) applies, with the notice period specified in Section 6 of this DPA.</w:t>
      </w:r>
    </w:p>
    <w:p>
      <w:pPr>
        <w:pStyle w:val="ListBullet"/>
      </w:pPr>
      <w:r>
        <w:t>For Clause 11 (Redress): the optional independent dispute resolution body clause does not apply.</w:t>
      </w:r>
    </w:p>
    <w:p>
      <w:pPr>
        <w:pStyle w:val="ListBullet"/>
      </w:pPr>
      <w:r>
        <w:t>For Clause 17 (Governing law): the law of Ireland applies.</w:t>
      </w:r>
    </w:p>
    <w:p>
      <w:pPr>
        <w:pStyle w:val="ListBullet"/>
      </w:pPr>
      <w:r>
        <w:t>For Clause 18 (Choice of forum and jurisdiction): the courts of Ireland.</w:t>
      </w:r>
    </w:p>
    <w:p>
      <w:pPr>
        <w:pStyle w:val="ListBullet"/>
      </w:pPr>
      <w:r>
        <w:t>Annex I, II, and III of the EU SCCs are populated by Schedules 1, 3, and 2 of this DPA respectively.</w:t>
      </w:r>
    </w:p>
    <w:p>
      <w:r>
        <w:rPr>
          <w:b w:val="0"/>
          <w:i/>
        </w:rPr>
        <w:t>Where UK Personal Data is transferred, the Parties additionally enter into the UK International Data Transfer Addendum issued by the UK Information Commissioner's Office (Version B1.0).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